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954" w:type="dxa"/>
        <w:tblLook w:val="04A0" w:firstRow="1" w:lastRow="0" w:firstColumn="1" w:lastColumn="0" w:noHBand="0" w:noVBand="1"/>
      </w:tblPr>
      <w:tblGrid>
        <w:gridCol w:w="2977"/>
        <w:gridCol w:w="1701"/>
        <w:gridCol w:w="1276"/>
      </w:tblGrid>
      <w:tr w:rsidR="001A3525" w:rsidRPr="002F193C" w14:paraId="4A7DC535" w14:textId="77777777" w:rsidTr="00210299">
        <w:trPr>
          <w:trHeight w:val="300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0052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Supplementary Table S1. Causes of death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3874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1A3525" w:rsidRPr="002F193C" w14:paraId="7F0CD50B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60E3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CE1D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0CB9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1A3525" w:rsidRPr="002F193C" w14:paraId="07D3C859" w14:textId="77777777" w:rsidTr="00210299">
        <w:trPr>
          <w:trHeight w:val="300"/>
        </w:trPr>
        <w:tc>
          <w:tcPr>
            <w:tcW w:w="29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55FDE9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FA9150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Auto-HSCT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A57059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Allo</w:t>
            </w:r>
            <w:proofErr w:type="spellEnd"/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-HSCT</w:t>
            </w:r>
          </w:p>
        </w:tc>
      </w:tr>
      <w:tr w:rsidR="001A3525" w:rsidRPr="002F193C" w14:paraId="43347F47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DDDDDD" w:fill="D8D8D8"/>
            <w:noWrap/>
            <w:vAlign w:val="center"/>
            <w:hideMark/>
          </w:tcPr>
          <w:p w14:paraId="62B9B2C8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Disease progression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DDDDDD" w:fill="D8D8D8"/>
            <w:noWrap/>
            <w:vAlign w:val="center"/>
            <w:hideMark/>
          </w:tcPr>
          <w:p w14:paraId="090C8232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9(56%)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DDDDD" w:fill="D8D8D8"/>
            <w:noWrap/>
            <w:vAlign w:val="center"/>
            <w:hideMark/>
          </w:tcPr>
          <w:p w14:paraId="3FEB5BFB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13(48%)</w:t>
            </w:r>
          </w:p>
        </w:tc>
      </w:tr>
      <w:tr w:rsidR="001A3525" w:rsidRPr="002F193C" w14:paraId="1F566C64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B17D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Infection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FB6D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4(25%)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5778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2(7%)</w:t>
            </w:r>
          </w:p>
        </w:tc>
      </w:tr>
      <w:tr w:rsidR="001A3525" w:rsidRPr="002F193C" w14:paraId="44955465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EAFB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Sepsis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70EF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3AD2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1A3525" w:rsidRPr="002F193C" w14:paraId="7643A926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72D2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Pneumonia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AABE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2DAA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1A3525" w:rsidRPr="002F193C" w14:paraId="6EBF13A2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DDDDDD" w:fill="D8D8D8"/>
            <w:noWrap/>
            <w:vAlign w:val="center"/>
            <w:hideMark/>
          </w:tcPr>
          <w:p w14:paraId="1CBD0135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Engraftment failure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DDDDDD" w:fill="D8D8D8"/>
            <w:noWrap/>
            <w:vAlign w:val="center"/>
            <w:hideMark/>
          </w:tcPr>
          <w:p w14:paraId="19E3FF09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DDDDDD" w:fill="D8D8D8"/>
            <w:noWrap/>
            <w:vAlign w:val="center"/>
            <w:hideMark/>
          </w:tcPr>
          <w:p w14:paraId="5ABBB943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1(4%)</w:t>
            </w:r>
          </w:p>
        </w:tc>
      </w:tr>
      <w:tr w:rsidR="001A3525" w:rsidRPr="002F193C" w14:paraId="0FBB1DF3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14F4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Graft-versus-host disease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AC15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7A7F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3(11%) </w:t>
            </w:r>
          </w:p>
        </w:tc>
      </w:tr>
      <w:tr w:rsidR="001A3525" w:rsidRPr="002F193C" w14:paraId="199BFD51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878B584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Hemorrhage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9D8524E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1(6%)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ADA73DF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3(11%)</w:t>
            </w:r>
          </w:p>
        </w:tc>
      </w:tr>
      <w:tr w:rsidR="001A3525" w:rsidRPr="002F193C" w14:paraId="23DB7C17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051D4F6" w14:textId="77777777" w:rsidR="001A3525" w:rsidRPr="002F193C" w:rsidRDefault="001A3525" w:rsidP="00210299">
            <w:pPr>
              <w:widowControl/>
              <w:ind w:firstLineChars="89" w:firstLine="187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Gastrointestinal Hemorrhage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E638E40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C54FF86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1A3525" w:rsidRPr="002F193C" w14:paraId="419203BF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63451FA" w14:textId="77777777" w:rsidR="001A3525" w:rsidRPr="002F193C" w:rsidRDefault="001A3525" w:rsidP="00210299">
            <w:pPr>
              <w:widowControl/>
              <w:ind w:firstLineChars="89" w:firstLine="187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hyperlink r:id="rId6" w:anchor="keyfrom=E2Ctranslation" w:history="1">
              <w:r w:rsidRPr="002F193C">
                <w:rPr>
                  <w:rFonts w:ascii="Times New Roman" w:eastAsia="宋体" w:hAnsi="Times New Roman" w:cs="Times New Roman"/>
                  <w:color w:val="000000"/>
                  <w:kern w:val="0"/>
                  <w:szCs w:val="21"/>
                </w:rPr>
                <w:t>Cerebral hemorrhage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039B293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0846136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1A3525" w:rsidRPr="002F193C" w14:paraId="385DC6E4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99E5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Multi-organ</w:t>
            </w:r>
            <w:r w:rsidRPr="002F193C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 xml:space="preserve"> </w:t>
            </w: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failure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A210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2(13%)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F84F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5(19%)</w:t>
            </w:r>
          </w:p>
        </w:tc>
      </w:tr>
      <w:tr w:rsidR="001A3525" w:rsidRPr="002F193C" w14:paraId="150216C0" w14:textId="77777777" w:rsidTr="00210299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DDDDD" w:fill="D8D8D8"/>
            <w:noWrap/>
            <w:vAlign w:val="center"/>
            <w:hideMark/>
          </w:tcPr>
          <w:p w14:paraId="00A3EAA7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DDDDD" w:fill="D8D8D8"/>
            <w:noWrap/>
            <w:vAlign w:val="center"/>
            <w:hideMark/>
          </w:tcPr>
          <w:p w14:paraId="2B6DC9A2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 (100%)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DDDDD" w:fill="D8D8D8"/>
            <w:noWrap/>
            <w:vAlign w:val="center"/>
            <w:hideMark/>
          </w:tcPr>
          <w:p w14:paraId="2DDD11D6" w14:textId="77777777" w:rsidR="001A3525" w:rsidRPr="002F193C" w:rsidRDefault="001A3525" w:rsidP="0021029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 (100%)</w:t>
            </w:r>
          </w:p>
        </w:tc>
      </w:tr>
      <w:tr w:rsidR="001A3525" w:rsidRPr="002F193C" w14:paraId="130DB88B" w14:textId="77777777" w:rsidTr="00210299">
        <w:trPr>
          <w:trHeight w:val="290"/>
        </w:trPr>
        <w:tc>
          <w:tcPr>
            <w:tcW w:w="5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70F9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Abbreviations: Auto-HSCT, autologous hematopoietic stem cell transplantation; </w:t>
            </w:r>
            <w:proofErr w:type="spellStart"/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Allo</w:t>
            </w:r>
            <w:proofErr w:type="spellEnd"/>
            <w:r w:rsidRPr="002F193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-HSCT, allogeneic hematopoietic stem cell transplantation.</w:t>
            </w:r>
          </w:p>
        </w:tc>
      </w:tr>
      <w:tr w:rsidR="001A3525" w:rsidRPr="002F193C" w14:paraId="76D6BBBC" w14:textId="77777777" w:rsidTr="00210299">
        <w:trPr>
          <w:trHeight w:val="290"/>
        </w:trPr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718C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B6CD" w14:textId="77777777" w:rsidR="001A3525" w:rsidRPr="002F193C" w:rsidRDefault="001A3525" w:rsidP="0021029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26ED1AFA" w14:textId="77777777" w:rsidR="001A3525" w:rsidRPr="002F193C" w:rsidRDefault="001A3525" w:rsidP="001A3525"/>
    <w:p w14:paraId="7130B013" w14:textId="77777777" w:rsidR="001A3525" w:rsidRPr="002F193C" w:rsidRDefault="001A3525" w:rsidP="001A3525">
      <w:pPr>
        <w:widowControl/>
        <w:jc w:val="left"/>
      </w:pPr>
    </w:p>
    <w:p w14:paraId="73DFBF23" w14:textId="77777777" w:rsidR="001A3525" w:rsidRPr="002F193C" w:rsidRDefault="001A3525" w:rsidP="001A3525">
      <w:pPr>
        <w:widowControl/>
        <w:jc w:val="left"/>
      </w:pPr>
    </w:p>
    <w:p w14:paraId="69B493D4" w14:textId="77777777" w:rsidR="001A3525" w:rsidRPr="00A41699" w:rsidRDefault="001A3525" w:rsidP="001A3525">
      <w:pPr>
        <w:widowControl/>
        <w:jc w:val="left"/>
      </w:pPr>
      <w:r>
        <w:br w:type="page"/>
      </w:r>
    </w:p>
    <w:p w14:paraId="4F981E6E" w14:textId="77777777" w:rsidR="001A3525" w:rsidRDefault="001A3525" w:rsidP="001A352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Legends of </w:t>
      </w:r>
      <w:r w:rsidRPr="00F44553">
        <w:rPr>
          <w:rFonts w:ascii="Times New Roman" w:hAnsi="Times New Roman" w:cs="Times New Roman"/>
        </w:rPr>
        <w:t>Supplemental figure 1</w:t>
      </w:r>
      <w:r>
        <w:rPr>
          <w:rFonts w:ascii="Times New Roman" w:hAnsi="Times New Roman" w:cs="Times New Roman"/>
        </w:rPr>
        <w:t>-4</w:t>
      </w:r>
      <w:r w:rsidRPr="00F44553">
        <w:rPr>
          <w:rFonts w:ascii="Times New Roman" w:hAnsi="Times New Roman" w:cs="Times New Roman"/>
        </w:rPr>
        <w:t xml:space="preserve">. </w:t>
      </w:r>
    </w:p>
    <w:p w14:paraId="19D449D0" w14:textId="77777777" w:rsidR="001A3525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t>Supplemental figure 1</w:t>
      </w:r>
    </w:p>
    <w:p w14:paraId="002080F7" w14:textId="77777777" w:rsidR="001A3525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  <w:noProof/>
        </w:rPr>
        <w:drawing>
          <wp:inline distT="0" distB="0" distL="0" distR="0" wp14:anchorId="07C6E942" wp14:editId="74EF3AF3">
            <wp:extent cx="5274310" cy="1994535"/>
            <wp:effectExtent l="0" t="0" r="2540" b="5715"/>
            <wp:docPr id="16" name="图片 15">
              <a:extLst xmlns:a="http://schemas.openxmlformats.org/drawingml/2006/main">
                <a:ext uri="{FF2B5EF4-FFF2-40B4-BE49-F238E27FC236}">
                  <a16:creationId xmlns:a16="http://schemas.microsoft.com/office/drawing/2014/main" id="{6FBE1259-6D9C-4804-93F9-BB2EE15306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>
                      <a:extLst>
                        <a:ext uri="{FF2B5EF4-FFF2-40B4-BE49-F238E27FC236}">
                          <a16:creationId xmlns:a16="http://schemas.microsoft.com/office/drawing/2014/main" id="{6FBE1259-6D9C-4804-93F9-BB2EE15306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03362" w14:textId="77777777" w:rsidR="001A3525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t>Supplemental figure 1</w:t>
      </w:r>
      <w:r>
        <w:rPr>
          <w:rFonts w:ascii="Times New Roman" w:hAnsi="Times New Roman" w:cs="Times New Roman"/>
        </w:rPr>
        <w:t>.</w:t>
      </w:r>
      <w:r w:rsidRPr="00F445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Cumulative incidence of </w:t>
      </w:r>
      <w:r w:rsidRPr="00F44553">
        <w:rPr>
          <w:rFonts w:ascii="Times New Roman" w:hAnsi="Times New Roman" w:cs="Times New Roman"/>
        </w:rPr>
        <w:t>graft versus host disease (GVHD)</w:t>
      </w:r>
      <w:r>
        <w:rPr>
          <w:rFonts w:ascii="Times New Roman" w:hAnsi="Times New Roman" w:cs="Times New Roman"/>
        </w:rPr>
        <w:t xml:space="preserve">. </w:t>
      </w:r>
      <w:r w:rsidRPr="00F44553">
        <w:rPr>
          <w:rFonts w:ascii="Times New Roman" w:hAnsi="Times New Roman" w:cs="Times New Roman"/>
        </w:rPr>
        <w:t xml:space="preserve">A. Cumulative incidence of 100-day grade Ⅰ-Ⅳ acute GVHD in the </w:t>
      </w:r>
      <w:proofErr w:type="spellStart"/>
      <w:r w:rsidRPr="00F44553">
        <w:rPr>
          <w:rFonts w:ascii="Times New Roman" w:hAnsi="Times New Roman" w:cs="Times New Roman"/>
        </w:rPr>
        <w:t>allo</w:t>
      </w:r>
      <w:proofErr w:type="spellEnd"/>
      <w:r w:rsidRPr="00F44553">
        <w:rPr>
          <w:rFonts w:ascii="Times New Roman" w:hAnsi="Times New Roman" w:cs="Times New Roman"/>
        </w:rPr>
        <w:t xml:space="preserve">-HSCT group. B. Cumulative incidence of 2-year limited and extensive chronic GVHD in the </w:t>
      </w:r>
      <w:proofErr w:type="spellStart"/>
      <w:r w:rsidRPr="00F44553">
        <w:rPr>
          <w:rFonts w:ascii="Times New Roman" w:hAnsi="Times New Roman" w:cs="Times New Roman"/>
        </w:rPr>
        <w:t>allo</w:t>
      </w:r>
      <w:proofErr w:type="spellEnd"/>
      <w:r w:rsidRPr="00F44553">
        <w:rPr>
          <w:rFonts w:ascii="Times New Roman" w:hAnsi="Times New Roman" w:cs="Times New Roman"/>
        </w:rPr>
        <w:t xml:space="preserve">-HSCT group. </w:t>
      </w:r>
    </w:p>
    <w:p w14:paraId="74C02485" w14:textId="77777777" w:rsidR="001A3525" w:rsidRDefault="001A3525" w:rsidP="001A352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45FC87" w14:textId="77777777" w:rsidR="001A3525" w:rsidRDefault="001A3525" w:rsidP="001A3525">
      <w:pPr>
        <w:rPr>
          <w:rFonts w:ascii="Times New Roman" w:hAnsi="Times New Roman" w:cs="Times New Roman"/>
        </w:rPr>
      </w:pPr>
    </w:p>
    <w:p w14:paraId="39F58469" w14:textId="77777777" w:rsidR="001A3525" w:rsidRPr="00F44553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t xml:space="preserve">Supplemental figure </w:t>
      </w:r>
      <w:r>
        <w:rPr>
          <w:rFonts w:ascii="Times New Roman" w:hAnsi="Times New Roman" w:cs="Times New Roman"/>
        </w:rPr>
        <w:t>2</w:t>
      </w:r>
    </w:p>
    <w:p w14:paraId="1AE580EB" w14:textId="77777777" w:rsidR="001A3525" w:rsidRDefault="001A3525" w:rsidP="001A3525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8B58267" wp14:editId="0658624B">
            <wp:extent cx="5274310" cy="1993265"/>
            <wp:effectExtent l="0" t="0" r="2540" b="6985"/>
            <wp:docPr id="2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0766D685-31FD-4041-BB37-8A14D63CAF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0766D685-31FD-4041-BB37-8A14D63CAF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F89DD" w14:textId="77777777" w:rsidR="001A3525" w:rsidRPr="00F44553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t xml:space="preserve">Supplemental figure 2. </w:t>
      </w:r>
      <w:r w:rsidRPr="0044283E">
        <w:rPr>
          <w:rFonts w:ascii="Times New Roman" w:hAnsi="Times New Roman" w:cs="Times New Roman"/>
        </w:rPr>
        <w:t>Subgroup analysis about patients</w:t>
      </w:r>
      <w:r>
        <w:rPr>
          <w:rFonts w:ascii="Times New Roman" w:hAnsi="Times New Roman" w:cs="Times New Roman"/>
          <w:szCs w:val="21"/>
        </w:rPr>
        <w:t xml:space="preserve"> with different</w:t>
      </w:r>
      <w:r w:rsidRPr="00B75D65">
        <w:rPr>
          <w:rFonts w:ascii="Times New Roman" w:hAnsi="Times New Roman" w:cs="Times New Roman"/>
          <w:szCs w:val="21"/>
        </w:rPr>
        <w:t xml:space="preserve"> disease status before transplantation</w:t>
      </w:r>
      <w:r>
        <w:rPr>
          <w:rFonts w:ascii="Times New Roman" w:hAnsi="Times New Roman" w:cs="Times New Roman"/>
          <w:szCs w:val="21"/>
        </w:rPr>
        <w:t xml:space="preserve">. </w:t>
      </w:r>
      <w:r w:rsidRPr="00F44553">
        <w:rPr>
          <w:rFonts w:ascii="Times New Roman" w:hAnsi="Times New Roman" w:cs="Times New Roman"/>
        </w:rPr>
        <w:t>For patients excluding CR, there was no difference in 3-year NRM (</w:t>
      </w:r>
      <w:r w:rsidRPr="00F44553">
        <w:rPr>
          <w:rFonts w:ascii="Times New Roman" w:hAnsi="Times New Roman" w:cs="Times New Roman"/>
          <w:lang w:val="it-IT"/>
        </w:rPr>
        <w:t xml:space="preserve">10%(95% CI 3–25%) vs 27%(95% CI 15–41%), P=0.11, </w:t>
      </w:r>
      <w:r w:rsidRPr="00F44553">
        <w:rPr>
          <w:rFonts w:ascii="Times New Roman" w:hAnsi="Times New Roman" w:cs="Times New Roman"/>
        </w:rPr>
        <w:t>A) and relapse (</w:t>
      </w:r>
      <w:r w:rsidRPr="00F44553">
        <w:rPr>
          <w:rFonts w:ascii="Times New Roman" w:hAnsi="Times New Roman" w:cs="Times New Roman"/>
          <w:lang w:val="it-IT"/>
        </w:rPr>
        <w:t>44% (95% CI 23–63%) vs 31% (95% CI 18–44%)  P=0.48</w:t>
      </w:r>
      <w:r w:rsidRPr="00F44553">
        <w:rPr>
          <w:rFonts w:ascii="Times New Roman" w:hAnsi="Times New Roman" w:cs="Times New Roman"/>
        </w:rPr>
        <w:t>, B) rate.</w:t>
      </w:r>
    </w:p>
    <w:p w14:paraId="2AA8E2F7" w14:textId="77777777" w:rsidR="001A3525" w:rsidRDefault="001A3525" w:rsidP="001A352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17E4FD" w14:textId="77777777" w:rsidR="001A3525" w:rsidRPr="00F44553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lastRenderedPageBreak/>
        <w:t xml:space="preserve">Supplemental figure </w:t>
      </w:r>
      <w:r>
        <w:rPr>
          <w:rFonts w:ascii="Times New Roman" w:hAnsi="Times New Roman" w:cs="Times New Roman"/>
        </w:rPr>
        <w:t>3</w:t>
      </w:r>
    </w:p>
    <w:p w14:paraId="2BB88DC9" w14:textId="77777777" w:rsidR="001A3525" w:rsidRDefault="001A3525" w:rsidP="001A3525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7BF858E" wp14:editId="597355CD">
            <wp:extent cx="5274310" cy="2032000"/>
            <wp:effectExtent l="0" t="0" r="2540" b="6350"/>
            <wp:docPr id="5" name="内容占位符 4">
              <a:extLst xmlns:a="http://schemas.openxmlformats.org/drawingml/2006/main">
                <a:ext uri="{FF2B5EF4-FFF2-40B4-BE49-F238E27FC236}">
                  <a16:creationId xmlns:a16="http://schemas.microsoft.com/office/drawing/2014/main" id="{E56B7533-F5AA-417B-92B7-E31AC694146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内容占位符 4">
                      <a:extLst>
                        <a:ext uri="{FF2B5EF4-FFF2-40B4-BE49-F238E27FC236}">
                          <a16:creationId xmlns:a16="http://schemas.microsoft.com/office/drawing/2014/main" id="{E56B7533-F5AA-417B-92B7-E31AC694146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4239F" w14:textId="77777777" w:rsidR="001A3525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t xml:space="preserve">Supplemental figure 3. </w:t>
      </w:r>
      <w:r w:rsidRPr="0044283E">
        <w:rPr>
          <w:rFonts w:ascii="Times New Roman" w:hAnsi="Times New Roman" w:cs="Times New Roman"/>
        </w:rPr>
        <w:t>Subgroup analysis about patients</w:t>
      </w:r>
      <w:r>
        <w:rPr>
          <w:rFonts w:ascii="Times New Roman" w:hAnsi="Times New Roman" w:cs="Times New Roman"/>
          <w:szCs w:val="21"/>
        </w:rPr>
        <w:t xml:space="preserve"> with different</w:t>
      </w:r>
      <w:r w:rsidRPr="00B75D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diseases. </w:t>
      </w:r>
      <w:r w:rsidRPr="00F44553">
        <w:rPr>
          <w:rFonts w:ascii="Times New Roman" w:hAnsi="Times New Roman" w:cs="Times New Roman"/>
        </w:rPr>
        <w:t xml:space="preserve">When excluding ALK+ patient, patients in the </w:t>
      </w:r>
      <w:proofErr w:type="spellStart"/>
      <w:r w:rsidRPr="00F44553">
        <w:rPr>
          <w:rFonts w:ascii="Times New Roman" w:hAnsi="Times New Roman" w:cs="Times New Roman"/>
        </w:rPr>
        <w:t>allo</w:t>
      </w:r>
      <w:proofErr w:type="spellEnd"/>
      <w:r w:rsidRPr="00F44553">
        <w:rPr>
          <w:rFonts w:ascii="Times New Roman" w:hAnsi="Times New Roman" w:cs="Times New Roman"/>
        </w:rPr>
        <w:t xml:space="preserve">-HSCT group still had better 3-year OS (71%(95% CI 57–88%)  vs 50% (95% CI 37–67%) , P=0.01, A) than that in the </w:t>
      </w:r>
      <w:proofErr w:type="spellStart"/>
      <w:r w:rsidRPr="00F44553">
        <w:rPr>
          <w:rFonts w:ascii="Times New Roman" w:hAnsi="Times New Roman" w:cs="Times New Roman"/>
        </w:rPr>
        <w:t>allo</w:t>
      </w:r>
      <w:proofErr w:type="spellEnd"/>
      <w:r w:rsidRPr="00F44553">
        <w:rPr>
          <w:rFonts w:ascii="Times New Roman" w:hAnsi="Times New Roman" w:cs="Times New Roman"/>
        </w:rPr>
        <w:t xml:space="preserve">-HSCT group (n=49), with no difference in PFS (56%(95% CI 42–76%) vs </w:t>
      </w:r>
      <w:r w:rsidRPr="00F44553">
        <w:rPr>
          <w:rFonts w:ascii="Times New Roman" w:hAnsi="Times New Roman" w:cs="Times New Roman"/>
          <w:lang w:val="it-IT"/>
        </w:rPr>
        <w:t>46%(95% CI 34–64%)</w:t>
      </w:r>
      <w:r w:rsidRPr="00F44553">
        <w:rPr>
          <w:rFonts w:ascii="Times New Roman" w:hAnsi="Times New Roman" w:cs="Times New Roman"/>
        </w:rPr>
        <w:t>, P=0.08, B).</w:t>
      </w:r>
    </w:p>
    <w:p w14:paraId="1F776F2B" w14:textId="77777777" w:rsidR="001A3525" w:rsidRDefault="001A3525" w:rsidP="001A352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F08762" w14:textId="77777777" w:rsidR="001A3525" w:rsidRPr="00F44553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lastRenderedPageBreak/>
        <w:t xml:space="preserve">Supplemental figure </w:t>
      </w:r>
      <w:r>
        <w:rPr>
          <w:rFonts w:ascii="Times New Roman" w:hAnsi="Times New Roman" w:cs="Times New Roman"/>
        </w:rPr>
        <w:t>4</w:t>
      </w:r>
    </w:p>
    <w:p w14:paraId="7D868E5E" w14:textId="77777777" w:rsidR="001A3525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  <w:noProof/>
        </w:rPr>
        <w:drawing>
          <wp:inline distT="0" distB="0" distL="0" distR="0" wp14:anchorId="38AF82AC" wp14:editId="4034DB39">
            <wp:extent cx="5274310" cy="6020435"/>
            <wp:effectExtent l="0" t="0" r="2540" b="0"/>
            <wp:docPr id="7" name="内容占位符 6">
              <a:extLst xmlns:a="http://schemas.openxmlformats.org/drawingml/2006/main">
                <a:ext uri="{FF2B5EF4-FFF2-40B4-BE49-F238E27FC236}">
                  <a16:creationId xmlns:a16="http://schemas.microsoft.com/office/drawing/2014/main" id="{E7CF107E-4A88-4BA5-BB8C-DC8B33C403B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内容占位符 6">
                      <a:extLst>
                        <a:ext uri="{FF2B5EF4-FFF2-40B4-BE49-F238E27FC236}">
                          <a16:creationId xmlns:a16="http://schemas.microsoft.com/office/drawing/2014/main" id="{E7CF107E-4A88-4BA5-BB8C-DC8B33C403B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10AF33" w14:textId="77777777" w:rsidR="001A3525" w:rsidRPr="00F44553" w:rsidRDefault="001A3525" w:rsidP="001A3525">
      <w:pPr>
        <w:rPr>
          <w:rFonts w:ascii="Times New Roman" w:hAnsi="Times New Roman" w:cs="Times New Roman"/>
        </w:rPr>
      </w:pPr>
      <w:r w:rsidRPr="00F44553">
        <w:rPr>
          <w:rFonts w:ascii="Times New Roman" w:hAnsi="Times New Roman" w:cs="Times New Roman"/>
        </w:rPr>
        <w:t xml:space="preserve">Supplemental figure 4. </w:t>
      </w:r>
      <w:r w:rsidRPr="0044283E">
        <w:rPr>
          <w:rFonts w:ascii="Times New Roman" w:hAnsi="Times New Roman" w:cs="Times New Roman"/>
        </w:rPr>
        <w:t>Subgroup analysis about patients</w:t>
      </w:r>
      <w:r>
        <w:rPr>
          <w:rFonts w:ascii="Times New Roman" w:hAnsi="Times New Roman" w:cs="Times New Roman"/>
          <w:szCs w:val="21"/>
        </w:rPr>
        <w:t xml:space="preserve"> with different</w:t>
      </w:r>
      <w:r w:rsidRPr="00B75D6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subtypes. </w:t>
      </w:r>
      <w:r w:rsidRPr="00F44553">
        <w:rPr>
          <w:rFonts w:ascii="Times New Roman" w:hAnsi="Times New Roman" w:cs="Times New Roman"/>
        </w:rPr>
        <w:t>For patients with PTCL-NOS, there was no difference in OS (</w:t>
      </w:r>
      <w:r w:rsidRPr="00F44553">
        <w:rPr>
          <w:rFonts w:ascii="Times New Roman" w:hAnsi="Times New Roman" w:cs="Times New Roman"/>
          <w:lang w:val="it-IT"/>
        </w:rPr>
        <w:t xml:space="preserve">71% (95% CI 45-100%) for auto-HSCT recipients </w:t>
      </w:r>
      <w:r w:rsidRPr="00F44553">
        <w:rPr>
          <w:rFonts w:ascii="Times New Roman" w:hAnsi="Times New Roman" w:cs="Times New Roman"/>
        </w:rPr>
        <w:t xml:space="preserve">vs </w:t>
      </w:r>
      <w:r w:rsidRPr="00F44553">
        <w:rPr>
          <w:rFonts w:ascii="Times New Roman" w:hAnsi="Times New Roman" w:cs="Times New Roman"/>
          <w:lang w:val="it-IT"/>
        </w:rPr>
        <w:t xml:space="preserve">42% (95% CI 16–87%) for allo-HSCT recipients, P=0.06, A), but </w:t>
      </w:r>
      <w:r w:rsidRPr="00F44553">
        <w:rPr>
          <w:rFonts w:ascii="Times New Roman" w:hAnsi="Times New Roman" w:cs="Times New Roman"/>
        </w:rPr>
        <w:t xml:space="preserve">patients in the auto-HSCT seemed to have better 3-year PFS (57% (95% CI 29-100%) vs </w:t>
      </w:r>
      <w:r w:rsidRPr="00F44553">
        <w:rPr>
          <w:rFonts w:ascii="Times New Roman" w:hAnsi="Times New Roman" w:cs="Times New Roman"/>
          <w:lang w:val="it-IT"/>
        </w:rPr>
        <w:t>32% (95% CI 13–80%) in the allo-HSCT group, P=0.047, B). For patients with AITL, there was no differences both in 3-year OS (56% (95% CI 32-100%) in auto-HSCT vs 57% (95% CI 30–100%) in allo-HSCT, P=0.98, C) and PFS (34% (95% CI 14-85%) in auto-HSCT vs 57% (95% CI 30–100%) in allo-HSCT, P=0.45, D).</w:t>
      </w:r>
      <w:r w:rsidRPr="00F44553">
        <w:rPr>
          <w:rFonts w:ascii="Times New Roman" w:hAnsi="Times New Roman" w:cs="Times New Roman"/>
        </w:rPr>
        <w:t xml:space="preserve"> For patients with NK/TCL, patients in the auto-HSCT had better 3-year OS (82%(95% CI 61-100%) vs 41%(95% CI 23–75%) in the </w:t>
      </w:r>
      <w:proofErr w:type="spellStart"/>
      <w:r w:rsidRPr="00F44553">
        <w:rPr>
          <w:rFonts w:ascii="Times New Roman" w:hAnsi="Times New Roman" w:cs="Times New Roman"/>
        </w:rPr>
        <w:t>allo</w:t>
      </w:r>
      <w:proofErr w:type="spellEnd"/>
      <w:r w:rsidRPr="00F44553">
        <w:rPr>
          <w:rFonts w:ascii="Times New Roman" w:hAnsi="Times New Roman" w:cs="Times New Roman"/>
        </w:rPr>
        <w:t xml:space="preserve">-HSCT, P=0.03, E), with no difference in PFS (65%(95% CI 41-100%) in auto-HSCT VS </w:t>
      </w:r>
      <w:r w:rsidRPr="00F44553">
        <w:rPr>
          <w:rFonts w:ascii="Times New Roman" w:hAnsi="Times New Roman" w:cs="Times New Roman"/>
          <w:lang w:val="it-IT"/>
        </w:rPr>
        <w:t xml:space="preserve">46%(95% CI 28–76%) </w:t>
      </w:r>
      <w:r w:rsidRPr="00F44553">
        <w:rPr>
          <w:rFonts w:ascii="Times New Roman" w:hAnsi="Times New Roman" w:cs="Times New Roman"/>
        </w:rPr>
        <w:t xml:space="preserve">in </w:t>
      </w:r>
      <w:proofErr w:type="spellStart"/>
      <w:r w:rsidRPr="00F44553">
        <w:rPr>
          <w:rFonts w:ascii="Times New Roman" w:hAnsi="Times New Roman" w:cs="Times New Roman"/>
        </w:rPr>
        <w:t>allo</w:t>
      </w:r>
      <w:proofErr w:type="spellEnd"/>
      <w:r w:rsidRPr="00F44553">
        <w:rPr>
          <w:rFonts w:ascii="Times New Roman" w:hAnsi="Times New Roman" w:cs="Times New Roman"/>
        </w:rPr>
        <w:t>-HSCT, P=0.11, F).</w:t>
      </w:r>
    </w:p>
    <w:p w14:paraId="511E0587" w14:textId="77777777" w:rsidR="001A3525" w:rsidRPr="00F44553" w:rsidRDefault="001A3525" w:rsidP="001A3525">
      <w:pPr>
        <w:rPr>
          <w:rFonts w:ascii="Times New Roman" w:hAnsi="Times New Roman" w:cs="Times New Roman"/>
        </w:rPr>
      </w:pPr>
    </w:p>
    <w:p w14:paraId="3DE82FB9" w14:textId="77777777" w:rsidR="00DC32FB" w:rsidRPr="001A3525" w:rsidRDefault="00DC32FB">
      <w:bookmarkStart w:id="0" w:name="_GoBack"/>
      <w:bookmarkEnd w:id="0"/>
    </w:p>
    <w:sectPr w:rsidR="00DC32FB" w:rsidRPr="001A3525" w:rsidSect="00AE3977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7045DA" w14:textId="77777777" w:rsidR="000C0FE0" w:rsidRDefault="000C0FE0" w:rsidP="001A3525">
      <w:r>
        <w:separator/>
      </w:r>
    </w:p>
  </w:endnote>
  <w:endnote w:type="continuationSeparator" w:id="0">
    <w:p w14:paraId="598350E3" w14:textId="77777777" w:rsidR="000C0FE0" w:rsidRDefault="000C0FE0" w:rsidP="001A35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3E8CCC" w14:textId="77777777" w:rsidR="000C0FE0" w:rsidRDefault="000C0FE0" w:rsidP="001A3525">
      <w:r>
        <w:separator/>
      </w:r>
    </w:p>
  </w:footnote>
  <w:footnote w:type="continuationSeparator" w:id="0">
    <w:p w14:paraId="232054A9" w14:textId="77777777" w:rsidR="000C0FE0" w:rsidRDefault="000C0FE0" w:rsidP="001A35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E08C3A48-22A3-4B6A-9AF4-37A7B6D68E76}"/>
    <w:docVar w:name="KY_MEDREF_VERSION" w:val="3"/>
  </w:docVars>
  <w:rsids>
    <w:rsidRoot w:val="007B14C9"/>
    <w:rsid w:val="000C0FE0"/>
    <w:rsid w:val="001A3525"/>
    <w:rsid w:val="007B14C9"/>
    <w:rsid w:val="00DC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6C8F8AF-C519-45F3-A55E-C972FDE81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A35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3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35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3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3525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A3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dao.com/w/cerebral%20hemorrhage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zhenyang</dc:creator>
  <cp:keywords/>
  <dc:description/>
  <cp:lastModifiedBy>gu zhenyang</cp:lastModifiedBy>
  <cp:revision>2</cp:revision>
  <dcterms:created xsi:type="dcterms:W3CDTF">2019-10-06T02:45:00Z</dcterms:created>
  <dcterms:modified xsi:type="dcterms:W3CDTF">2019-10-06T02:45:00Z</dcterms:modified>
</cp:coreProperties>
</file>